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4862644" w:rsidR="00F92268" w:rsidRPr="00FF66BF" w:rsidRDefault="00B14E04" w:rsidP="00F246C7">
            <w:pPr>
              <w:pStyle w:val="RefTableHeader"/>
            </w:pPr>
            <w:r>
              <w:t>2782-A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89F927D" w14:textId="596927E6" w:rsidR="00B14E04" w:rsidRPr="00B14E04" w:rsidRDefault="00B14E04" w:rsidP="00B14E04">
      <w:pPr>
        <w:pStyle w:val="Heading1"/>
        <w:rPr>
          <w:szCs w:val="56"/>
        </w:rPr>
      </w:pPr>
      <w:r w:rsidRPr="00B14E04">
        <w:rPr>
          <w:szCs w:val="56"/>
        </w:rPr>
        <w:t>Specialty Guideline Management</w:t>
      </w:r>
    </w:p>
    <w:p w14:paraId="3F4DE49F" w14:textId="28F9FD8A" w:rsidR="004B15BB" w:rsidRPr="00BD1CC1" w:rsidRDefault="00B14E04" w:rsidP="007E5C16">
      <w:pPr>
        <w:pStyle w:val="Heading1"/>
      </w:pPr>
      <w:proofErr w:type="spellStart"/>
      <w:r w:rsidRPr="00B14E04">
        <w:t>Talzenna</w:t>
      </w:r>
      <w:proofErr w:type="spellEnd"/>
    </w:p>
    <w:p w14:paraId="78861C92" w14:textId="1980601E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5FA74914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O</w:t>
      </w:r>
      <w:r w:rsidR="00D14D0A">
        <w:t>ver-the-counter (O</w:t>
      </w:r>
      <w:r w:rsidRPr="00BD1CC1">
        <w:t>TC</w:t>
      </w:r>
      <w:r w:rsidR="00D14D0A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3D481E">
        <w:trPr>
          <w:cantSplit/>
          <w:trHeight w:val="288"/>
          <w:tblHeader/>
        </w:trPr>
        <w:tc>
          <w:tcPr>
            <w:tcW w:w="5265" w:type="dxa"/>
          </w:tcPr>
          <w:p w14:paraId="2A27354A" w14:textId="1390179E" w:rsidR="00252CE1" w:rsidRPr="00BD1CC1" w:rsidRDefault="00252CE1" w:rsidP="003D481E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</w:tcPr>
          <w:p w14:paraId="3D342BE1" w14:textId="75F11EF1" w:rsidR="00252CE1" w:rsidRPr="00BD1CC1" w:rsidRDefault="00252CE1" w:rsidP="003D481E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585FFF" w:rsidRPr="00BD1CC1" w14:paraId="2AD5C02D" w14:textId="77777777" w:rsidTr="003D481E">
        <w:trPr>
          <w:cantSplit/>
        </w:trPr>
        <w:tc>
          <w:tcPr>
            <w:tcW w:w="5265" w:type="dxa"/>
          </w:tcPr>
          <w:p w14:paraId="2D8FA8E3" w14:textId="1C463BA1" w:rsidR="00585FFF" w:rsidRPr="00BD1CC1" w:rsidRDefault="00B14E04" w:rsidP="003D481E">
            <w:pPr>
              <w:pStyle w:val="TableData"/>
              <w:spacing w:after="0"/>
            </w:pPr>
            <w:proofErr w:type="spellStart"/>
            <w:r w:rsidRPr="00B14E04">
              <w:t>Talzenna</w:t>
            </w:r>
            <w:proofErr w:type="spellEnd"/>
          </w:p>
        </w:tc>
        <w:tc>
          <w:tcPr>
            <w:tcW w:w="5595" w:type="dxa"/>
          </w:tcPr>
          <w:p w14:paraId="7E26A004" w14:textId="39149A4E" w:rsidR="00585FFF" w:rsidRPr="00BD1CC1" w:rsidRDefault="00B14E04" w:rsidP="003D481E">
            <w:pPr>
              <w:pStyle w:val="TableData"/>
              <w:spacing w:after="0"/>
            </w:pPr>
            <w:proofErr w:type="spellStart"/>
            <w:r w:rsidRPr="00B14E04">
              <w:t>talazoparib</w:t>
            </w:r>
            <w:proofErr w:type="spellEnd"/>
          </w:p>
        </w:tc>
      </w:tr>
    </w:tbl>
    <w:bookmarkEnd w:id="0"/>
    <w:p w14:paraId="14CE6108" w14:textId="2FAB696C" w:rsidR="00FC1AAD" w:rsidRPr="00460F4A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1088D491" w14:textId="77777777" w:rsidR="00D14D0A" w:rsidRDefault="00B14E04" w:rsidP="00B14E04">
      <w:pPr>
        <w:pStyle w:val="BodyText"/>
      </w:pPr>
      <w:r w:rsidRPr="00B14E04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6F2BB659" w14:textId="54015B2A" w:rsidR="00B14E04" w:rsidRPr="0088608B" w:rsidRDefault="00B14E04" w:rsidP="001C388B">
      <w:pPr>
        <w:pStyle w:val="Heading3"/>
      </w:pPr>
      <w:r w:rsidRPr="00B14E04">
        <w:t>FDA-Approved Indications</w:t>
      </w:r>
      <w:r w:rsidR="0088608B">
        <w:rPr>
          <w:vertAlign w:val="superscript"/>
        </w:rPr>
        <w:t>1</w:t>
      </w:r>
    </w:p>
    <w:p w14:paraId="7AFF6432" w14:textId="091CC5D1" w:rsidR="00B14E04" w:rsidRPr="00B14E04" w:rsidRDefault="00B14E04" w:rsidP="005A62E6">
      <w:pPr>
        <w:pStyle w:val="Heading4"/>
      </w:pPr>
      <w:r w:rsidRPr="00B14E04">
        <w:t>Breast Cancer</w:t>
      </w:r>
    </w:p>
    <w:p w14:paraId="32B3D9B6" w14:textId="40FCEB4D" w:rsidR="00B14E04" w:rsidRDefault="00B14E04" w:rsidP="005A62E6">
      <w:pPr>
        <w:pStyle w:val="BodyText"/>
      </w:pPr>
      <w:proofErr w:type="spellStart"/>
      <w:r w:rsidRPr="00B14E04">
        <w:t>Talzenna</w:t>
      </w:r>
      <w:proofErr w:type="spellEnd"/>
      <w:r w:rsidRPr="00B14E04">
        <w:t xml:space="preserve"> is indicated as a single agent for the treatment of adult patients with deleterious or suspected deleterious germline breast cancer susceptibility gene (BRCA)-mutated (</w:t>
      </w:r>
      <w:proofErr w:type="spellStart"/>
      <w:r w:rsidRPr="006F0292">
        <w:t>gBRCAm</w:t>
      </w:r>
      <w:proofErr w:type="spellEnd"/>
      <w:r w:rsidRPr="00B14E04">
        <w:t xml:space="preserve">) human epidermal growth factor receptor 2 (HER2)-negative locally advanced or metastatic breast cancer. Select patients for therapy based on an FDA-approved companion diagnostic for </w:t>
      </w:r>
      <w:proofErr w:type="spellStart"/>
      <w:r w:rsidRPr="00B14E04">
        <w:t>Talzenna</w:t>
      </w:r>
      <w:proofErr w:type="spellEnd"/>
      <w:r w:rsidRPr="00B14E04">
        <w:t>.</w:t>
      </w:r>
    </w:p>
    <w:p w14:paraId="38B3E539" w14:textId="2FDD8851" w:rsidR="00B14E04" w:rsidRPr="00B14E04" w:rsidRDefault="00B14E04" w:rsidP="00992153">
      <w:pPr>
        <w:pStyle w:val="Heading4"/>
      </w:pPr>
      <w:r w:rsidRPr="00B14E04">
        <w:t>Prostate Cancer</w:t>
      </w:r>
    </w:p>
    <w:p w14:paraId="686D87D5" w14:textId="60C35767" w:rsidR="00B14E04" w:rsidRDefault="00B14E04" w:rsidP="005A62E6">
      <w:pPr>
        <w:pStyle w:val="BodyText"/>
      </w:pPr>
      <w:proofErr w:type="spellStart"/>
      <w:r w:rsidRPr="00B14E04">
        <w:t>Talzenna</w:t>
      </w:r>
      <w:proofErr w:type="spellEnd"/>
      <w:r w:rsidRPr="00B14E04">
        <w:t xml:space="preserve"> is indicated in combination with enzalutamide for the treatment of adult patients with homologous recombination repair (HRR) gene-mutated metastatic castration-resistant prostate cancer (</w:t>
      </w:r>
      <w:proofErr w:type="spellStart"/>
      <w:r w:rsidRPr="00B14E04">
        <w:t>mCRPC</w:t>
      </w:r>
      <w:proofErr w:type="spellEnd"/>
      <w:r w:rsidRPr="00B14E04">
        <w:t>).</w:t>
      </w:r>
    </w:p>
    <w:p w14:paraId="73FD323A" w14:textId="6139FB00" w:rsidR="00B14E04" w:rsidRPr="0088608B" w:rsidRDefault="00B14E04" w:rsidP="001C388B">
      <w:pPr>
        <w:pStyle w:val="Heading3"/>
      </w:pPr>
      <w:r w:rsidRPr="00B14E04">
        <w:lastRenderedPageBreak/>
        <w:t>Compendial Uses</w:t>
      </w:r>
      <w:r w:rsidR="0088608B">
        <w:rPr>
          <w:vertAlign w:val="superscript"/>
        </w:rPr>
        <w:t>2</w:t>
      </w:r>
    </w:p>
    <w:p w14:paraId="537CC578" w14:textId="50231D01" w:rsidR="00B14E04" w:rsidRPr="00B14E04" w:rsidRDefault="00B14E04" w:rsidP="00B14E04">
      <w:pPr>
        <w:pStyle w:val="ListParagraph"/>
      </w:pPr>
      <w:r w:rsidRPr="00B14E04">
        <w:t>Human epidermal growth factor receptor 2 (HER2)-negative, BRCA 1/2-germline mutated breast cancer</w:t>
      </w:r>
    </w:p>
    <w:p w14:paraId="74B063BC" w14:textId="2092BEC0" w:rsidR="00B14E04" w:rsidRPr="00B14E04" w:rsidRDefault="00B14E04" w:rsidP="00B14E04">
      <w:pPr>
        <w:pStyle w:val="ListParagraph"/>
      </w:pPr>
      <w:r w:rsidRPr="00B14E04">
        <w:t>HER2-positive BRCA 1/2-germline mutated breast cancer</w:t>
      </w:r>
    </w:p>
    <w:p w14:paraId="45DF08F6" w14:textId="6E1C8EF8" w:rsidR="00B14E04" w:rsidRPr="00B14E04" w:rsidRDefault="00B14E04" w:rsidP="00B14E04">
      <w:pPr>
        <w:pStyle w:val="ListParagraph"/>
      </w:pPr>
      <w:r w:rsidRPr="00B14E04">
        <w:t>Homologous recombination repair (HRR) gene-mutated metastatic castration-resistant prostate cancer</w:t>
      </w:r>
    </w:p>
    <w:p w14:paraId="6881845B" w14:textId="77777777" w:rsidR="00D14D0A" w:rsidRDefault="00B14E04" w:rsidP="00B14E04">
      <w:pPr>
        <w:pStyle w:val="BodyText"/>
      </w:pPr>
      <w:r w:rsidRPr="00B14E04">
        <w:t>All other indications are considered experimental/investigational and not medically necessary.</w:t>
      </w:r>
    </w:p>
    <w:p w14:paraId="36381B6D" w14:textId="5FF95196" w:rsidR="000D2496" w:rsidRPr="00BD1CC1" w:rsidRDefault="000D2496" w:rsidP="000D2496">
      <w:pPr>
        <w:pStyle w:val="Heading2"/>
      </w:pPr>
      <w:r w:rsidRPr="00BD1CC1">
        <w:t>Documentation</w:t>
      </w:r>
    </w:p>
    <w:p w14:paraId="020CD5F0" w14:textId="0FDAE3B9" w:rsidR="00B14E04" w:rsidRPr="00B600FA" w:rsidRDefault="00B14E04" w:rsidP="00B14E04">
      <w:pPr>
        <w:pStyle w:val="BodyText"/>
      </w:pPr>
      <w:r w:rsidRPr="00B14E04">
        <w:t>Submission of the following information is necessary to initiate the prior authorization review: BRCA mutation or HRR gene testing results.</w:t>
      </w:r>
    </w:p>
    <w:p w14:paraId="60B394DE" w14:textId="77777777" w:rsidR="00D14D0A" w:rsidRDefault="00685107" w:rsidP="00E050E1">
      <w:pPr>
        <w:pStyle w:val="Heading2"/>
      </w:pPr>
      <w:r>
        <w:t>Coverage Criteria</w:t>
      </w:r>
    </w:p>
    <w:p w14:paraId="64925461" w14:textId="00DC0C6A" w:rsidR="00B14E04" w:rsidRPr="0088608B" w:rsidRDefault="00B14E04" w:rsidP="00B14E04">
      <w:pPr>
        <w:pStyle w:val="Heading3"/>
      </w:pPr>
      <w:r w:rsidRPr="00B14E04">
        <w:t>Breast Cancer</w:t>
      </w:r>
      <w:r w:rsidR="0088608B">
        <w:rPr>
          <w:vertAlign w:val="superscript"/>
        </w:rPr>
        <w:t>1,2</w:t>
      </w:r>
    </w:p>
    <w:p w14:paraId="5CBBEF51" w14:textId="46AA96D6" w:rsidR="00B14E04" w:rsidRPr="00B14E04" w:rsidRDefault="00B14E04" w:rsidP="00B14E04">
      <w:pPr>
        <w:pStyle w:val="BodyText"/>
      </w:pPr>
      <w:r w:rsidRPr="00B14E04">
        <w:t>Authorization of 12 months may be granted for treatment of breast cancer with no response to preoperative systemic therapy, or for locally advanced, recurrent, or metastatic breast cancer as a single agent in members with deleterious or suspected deleterious germline BRCA mutations.</w:t>
      </w:r>
    </w:p>
    <w:p w14:paraId="0D243F8E" w14:textId="26A1430E" w:rsidR="00B14E04" w:rsidRPr="0088608B" w:rsidRDefault="00B14E04" w:rsidP="00B14E04">
      <w:pPr>
        <w:pStyle w:val="Heading3"/>
      </w:pPr>
      <w:r w:rsidRPr="00B14E04">
        <w:t>Metastatic Castration-Resistant Prostate Cancer</w:t>
      </w:r>
      <w:r w:rsidR="0088608B">
        <w:rPr>
          <w:vertAlign w:val="superscript"/>
        </w:rPr>
        <w:t>1,2</w:t>
      </w:r>
    </w:p>
    <w:p w14:paraId="42A6D54C" w14:textId="79C564AA" w:rsidR="00B14E04" w:rsidRPr="00B14E04" w:rsidRDefault="00B14E04" w:rsidP="00B14E04">
      <w:pPr>
        <w:pStyle w:val="BodyText"/>
      </w:pPr>
      <w:r w:rsidRPr="00B14E04">
        <w:t>Authorization of 12 months may be granted for treatment of metastatic castration-resistant prostate cancer when all of the following criteria are met:</w:t>
      </w:r>
    </w:p>
    <w:p w14:paraId="15518C9E" w14:textId="24B3B9BB" w:rsidR="00B14E04" w:rsidRPr="00440E37" w:rsidRDefault="00B14E04" w:rsidP="00440E37">
      <w:pPr>
        <w:pStyle w:val="ListParagraph"/>
      </w:pPr>
      <w:r w:rsidRPr="00440E37">
        <w:t>The member has homologous recombination repair (HRR)-gene mutation which includes</w:t>
      </w:r>
      <w:r w:rsidRPr="006C0532">
        <w:t xml:space="preserve"> </w:t>
      </w:r>
      <w:r w:rsidRPr="00440E37">
        <w:t>ATM, ATR, BRCA1, BRCA2, CDK12, CHEK2, FANCA, MLH1, MRE11A, NBN, PALB2, or RAD51C</w:t>
      </w:r>
    </w:p>
    <w:p w14:paraId="748C523A" w14:textId="1DE90B09" w:rsidR="00B14E04" w:rsidRPr="00440E37" w:rsidRDefault="00B14E04" w:rsidP="00440E37">
      <w:pPr>
        <w:pStyle w:val="ListParagraph"/>
      </w:pPr>
      <w:r w:rsidRPr="00440E37">
        <w:t>The member has not had treatment in the setting of castration-resistant prostate cancer</w:t>
      </w:r>
    </w:p>
    <w:p w14:paraId="463B6A30" w14:textId="1059126B" w:rsidR="00B14E04" w:rsidRPr="00440E37" w:rsidRDefault="00B14E04" w:rsidP="00440E37">
      <w:pPr>
        <w:pStyle w:val="ListParagraph"/>
      </w:pPr>
      <w:r w:rsidRPr="00440E37">
        <w:t xml:space="preserve">The requested medication will be used in combination with </w:t>
      </w:r>
      <w:proofErr w:type="spellStart"/>
      <w:r w:rsidRPr="00440E37">
        <w:t>enzalutatmide</w:t>
      </w:r>
      <w:proofErr w:type="spellEnd"/>
      <w:r w:rsidRPr="00440E37">
        <w:t xml:space="preserve"> (Xtandi)</w:t>
      </w:r>
    </w:p>
    <w:p w14:paraId="4D4E6B6C" w14:textId="699B6C9D" w:rsidR="0088608B" w:rsidRDefault="00B14E04" w:rsidP="0088608B">
      <w:pPr>
        <w:pStyle w:val="ListParagraph"/>
      </w:pPr>
      <w:r w:rsidRPr="00440E37">
        <w:t xml:space="preserve">The member has had a bilateral orchiectomy or will be using the requested medication in combination with a </w:t>
      </w:r>
      <w:r w:rsidR="0088608B" w:rsidRPr="0088608B">
        <w:t>luteinizing hormone-releasing hormone (</w:t>
      </w:r>
      <w:r w:rsidR="0088608B">
        <w:t>LHRH</w:t>
      </w:r>
      <w:r w:rsidR="0088608B" w:rsidRPr="0088608B">
        <w:t xml:space="preserve">) agonist (e.g., goserelin, leuprolide) or antagonist (e.g., </w:t>
      </w:r>
      <w:proofErr w:type="spellStart"/>
      <w:r w:rsidR="0088608B" w:rsidRPr="0088608B">
        <w:t>degarelix</w:t>
      </w:r>
      <w:proofErr w:type="spellEnd"/>
      <w:r w:rsidR="0088608B" w:rsidRPr="0088608B">
        <w:t xml:space="preserve">, </w:t>
      </w:r>
      <w:proofErr w:type="spellStart"/>
      <w:r w:rsidR="0088608B" w:rsidRPr="0088608B">
        <w:t>relugolix</w:t>
      </w:r>
      <w:proofErr w:type="spellEnd"/>
      <w:r w:rsidR="0088608B" w:rsidRPr="0088608B">
        <w:t>).</w:t>
      </w:r>
    </w:p>
    <w:p w14:paraId="3A643EC3" w14:textId="2C086EB8" w:rsidR="00A501AC" w:rsidRPr="00BD1CC1" w:rsidRDefault="00A501AC" w:rsidP="0088608B">
      <w:pPr>
        <w:pStyle w:val="Heading2"/>
      </w:pPr>
      <w:r w:rsidRPr="00BD1CC1">
        <w:t>Continuation of Therapy</w:t>
      </w:r>
    </w:p>
    <w:p w14:paraId="32C8905D" w14:textId="2E925FC4" w:rsidR="00A501AC" w:rsidRPr="003D46B0" w:rsidRDefault="00A501AC" w:rsidP="003D46B0">
      <w:pPr>
        <w:pStyle w:val="BodyText"/>
      </w:pPr>
      <w:r w:rsidRPr="003D46B0">
        <w:t xml:space="preserve">Authorization of 12 months may be granted for continued treatment in members requesting reauthorization for an indication in the </w:t>
      </w:r>
      <w:r w:rsidR="00A31CAA">
        <w:t>Coverage Criteria</w:t>
      </w:r>
      <w:r w:rsidRPr="003D46B0">
        <w:t xml:space="preserve"> section, specific to diagnosis, when there is no evidence of unacceptable toxicity or disease progression while on the current regimen.</w:t>
      </w:r>
    </w:p>
    <w:p w14:paraId="10DA4309" w14:textId="76387535" w:rsidR="00FF66BF" w:rsidRPr="008D1B34" w:rsidRDefault="00FF66BF" w:rsidP="00FF66BF">
      <w:pPr>
        <w:pStyle w:val="Heading2"/>
      </w:pPr>
      <w:r w:rsidRPr="008D1B34">
        <w:t>References</w:t>
      </w:r>
    </w:p>
    <w:p w14:paraId="702AC21A" w14:textId="6C59CC6D" w:rsidR="00D14D0A" w:rsidRPr="00D14D0A" w:rsidRDefault="00B14E04" w:rsidP="00D14D0A">
      <w:pPr>
        <w:pStyle w:val="ReferenceOrdered"/>
      </w:pPr>
      <w:proofErr w:type="spellStart"/>
      <w:r w:rsidRPr="00D14D0A">
        <w:t>Talzenna</w:t>
      </w:r>
      <w:proofErr w:type="spellEnd"/>
      <w:r w:rsidRPr="00D14D0A">
        <w:t xml:space="preserve"> [package insert]. New York, NY: Pfizer Inc.; </w:t>
      </w:r>
      <w:r w:rsidR="00D14D0A">
        <w:t>March 2024</w:t>
      </w:r>
      <w:r w:rsidRPr="00D14D0A">
        <w:t>.</w:t>
      </w:r>
    </w:p>
    <w:p w14:paraId="535D22A2" w14:textId="2E0EFAFE" w:rsidR="005E59C1" w:rsidRDefault="00B14E04" w:rsidP="00D14D0A">
      <w:pPr>
        <w:pStyle w:val="ReferenceOrdered"/>
      </w:pPr>
      <w:r w:rsidRPr="00D14D0A">
        <w:t>The NCCN Drugs &amp; Biologics Compendium 202</w:t>
      </w:r>
      <w:r w:rsidR="00D14D0A">
        <w:t>4</w:t>
      </w:r>
      <w:r w:rsidRPr="00D14D0A">
        <w:t xml:space="preserve"> National Comprehensive Cancer Network, Inc. https://www.nccn.org. Accessed </w:t>
      </w:r>
      <w:r w:rsidR="00704728">
        <w:t>December 3</w:t>
      </w:r>
      <w:r w:rsidR="00D14D0A">
        <w:t>, 2024</w:t>
      </w:r>
      <w:r w:rsidR="00DF19E3">
        <w:t>.</w:t>
      </w:r>
    </w:p>
    <w:sectPr w:rsidR="005E59C1" w:rsidSect="00BA0AE9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9B441" w14:textId="77777777" w:rsidR="00DC26FA" w:rsidRDefault="00DC26FA">
      <w:r>
        <w:separator/>
      </w:r>
    </w:p>
  </w:endnote>
  <w:endnote w:type="continuationSeparator" w:id="0">
    <w:p w14:paraId="6F68E660" w14:textId="77777777" w:rsidR="00DC26FA" w:rsidRDefault="00DC26FA">
      <w:r>
        <w:continuationSeparator/>
      </w:r>
    </w:p>
  </w:endnote>
  <w:endnote w:type="continuationNotice" w:id="1">
    <w:p w14:paraId="072A9D42" w14:textId="77777777" w:rsidR="00DC26FA" w:rsidRDefault="00DC26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A31B361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412D8" w:rsidRPr="009412D8">
      <w:rPr>
        <w:rFonts w:cs="Arial"/>
        <w:noProof/>
        <w:sz w:val="16"/>
        <w:szCs w:val="16"/>
      </w:rPr>
      <w:t>Talzenna</w:t>
    </w:r>
    <w:r w:rsidR="009412D8">
      <w:rPr>
        <w:rFonts w:cs="Arial"/>
        <w:noProof/>
        <w:snapToGrid w:val="0"/>
        <w:color w:val="000000"/>
        <w:sz w:val="16"/>
        <w:szCs w:val="16"/>
      </w:rPr>
      <w:t xml:space="preserve"> SGM 2782-A</w:t>
    </w:r>
    <w:r w:rsidR="009412D8" w:rsidRPr="009412D8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5203B5" w:rsidRPr="00EC47B6">
      <w:rPr>
        <w:rFonts w:cs="Arial"/>
        <w:snapToGrid w:val="0"/>
        <w:color w:val="000000"/>
        <w:sz w:val="16"/>
      </w:rPr>
      <w:t>202</w:t>
    </w:r>
    <w:r w:rsidR="005203B5">
      <w:rPr>
        <w:rFonts w:cs="Arial"/>
        <w:snapToGrid w:val="0"/>
        <w:color w:val="000000"/>
        <w:sz w:val="16"/>
      </w:rPr>
      <w:t>5</w:t>
    </w:r>
    <w:r w:rsidR="005203B5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61CF5924" w14:textId="13FD6A05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211A961C" w:rsidR="00F75C81" w:rsidRPr="00AA1E6A" w:rsidRDefault="00C36B72" w:rsidP="00BA0AE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97B8870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412D8" w:rsidRPr="009412D8">
      <w:rPr>
        <w:rFonts w:cs="Arial"/>
        <w:noProof/>
        <w:sz w:val="16"/>
        <w:szCs w:val="16"/>
      </w:rPr>
      <w:t>Talzenna</w:t>
    </w:r>
    <w:r w:rsidR="009412D8">
      <w:rPr>
        <w:rFonts w:cs="Arial"/>
        <w:noProof/>
        <w:snapToGrid w:val="0"/>
        <w:color w:val="000000"/>
        <w:sz w:val="16"/>
        <w:szCs w:val="16"/>
      </w:rPr>
      <w:t xml:space="preserve"> SGM 2782-A</w:t>
    </w:r>
    <w:r w:rsidR="009412D8" w:rsidRPr="009412D8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5203B5" w:rsidRPr="00EC47B6">
      <w:rPr>
        <w:rFonts w:cs="Arial"/>
        <w:snapToGrid w:val="0"/>
        <w:color w:val="000000"/>
        <w:sz w:val="16"/>
      </w:rPr>
      <w:t>202</w:t>
    </w:r>
    <w:r w:rsidR="005203B5">
      <w:rPr>
        <w:rFonts w:cs="Arial"/>
        <w:snapToGrid w:val="0"/>
        <w:color w:val="000000"/>
        <w:sz w:val="16"/>
      </w:rPr>
      <w:t>5</w:t>
    </w:r>
    <w:r w:rsidR="005203B5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39BFE579" w14:textId="01F41422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8286D40" w:rsidR="00ED04EC" w:rsidRPr="00D14D0A" w:rsidRDefault="00F50D98" w:rsidP="00D14D0A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75A3C" w14:textId="77777777" w:rsidR="00DC26FA" w:rsidRDefault="00DC26FA">
      <w:r>
        <w:separator/>
      </w:r>
    </w:p>
  </w:footnote>
  <w:footnote w:type="continuationSeparator" w:id="0">
    <w:p w14:paraId="7C42E709" w14:textId="77777777" w:rsidR="00DC26FA" w:rsidRDefault="00DC26FA">
      <w:r>
        <w:continuationSeparator/>
      </w:r>
    </w:p>
  </w:footnote>
  <w:footnote w:type="continuationNotice" w:id="1">
    <w:p w14:paraId="5FDCB96C" w14:textId="77777777" w:rsidR="00DC26FA" w:rsidRDefault="00DC26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D14D0A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D14D0A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D14D0A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D14D0A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394C8BD9" w:rsidR="00ED04EC" w:rsidRPr="00D14D0A" w:rsidRDefault="00B14E04" w:rsidP="00ED04EC">
          <w:pPr>
            <w:pStyle w:val="Header"/>
            <w:rPr>
              <w:rFonts w:cs="Arial"/>
              <w:sz w:val="16"/>
              <w:szCs w:val="16"/>
            </w:rPr>
          </w:pPr>
          <w:r w:rsidRPr="00D14D0A">
            <w:rPr>
              <w:rFonts w:cs="Arial"/>
              <w:sz w:val="16"/>
              <w:szCs w:val="16"/>
            </w:rPr>
            <w:t>2782-A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223E98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58C2DCC2" w:rsidR="00223E98" w:rsidRPr="006C0532" w:rsidRDefault="00223E98" w:rsidP="00223E98">
          <w:pPr>
            <w:pStyle w:val="RefTableHeader"/>
          </w:pPr>
          <w:r w:rsidRPr="00D14D0A">
            <w:rPr>
              <w:rFonts w:ascii="Arial" w:hAnsi="Arial"/>
            </w:rPr>
            <w:t>2782-A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CA3641"/>
    <w:multiLevelType w:val="multilevel"/>
    <w:tmpl w:val="455C52D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E5D0722"/>
    <w:multiLevelType w:val="multilevel"/>
    <w:tmpl w:val="963C1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374DFC"/>
    <w:multiLevelType w:val="multilevel"/>
    <w:tmpl w:val="2006CC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6CE5708"/>
    <w:multiLevelType w:val="multilevel"/>
    <w:tmpl w:val="067642AE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14316C"/>
    <w:multiLevelType w:val="multilevel"/>
    <w:tmpl w:val="6784B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16239FA"/>
    <w:multiLevelType w:val="multilevel"/>
    <w:tmpl w:val="C18CCABE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91A69"/>
    <w:multiLevelType w:val="multilevel"/>
    <w:tmpl w:val="A40A7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0A5C57"/>
    <w:multiLevelType w:val="multilevel"/>
    <w:tmpl w:val="875E8B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E2B28A2"/>
    <w:multiLevelType w:val="multilevel"/>
    <w:tmpl w:val="F87A08E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513953"/>
    <w:multiLevelType w:val="multilevel"/>
    <w:tmpl w:val="DC728C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B2A5741"/>
    <w:multiLevelType w:val="multilevel"/>
    <w:tmpl w:val="55AAEB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BB46E60"/>
    <w:multiLevelType w:val="multilevel"/>
    <w:tmpl w:val="6FBC1A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3D0EE9"/>
    <w:multiLevelType w:val="multilevel"/>
    <w:tmpl w:val="71647E62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E9404D"/>
    <w:multiLevelType w:val="multilevel"/>
    <w:tmpl w:val="2440EF04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74E3371"/>
    <w:multiLevelType w:val="multilevel"/>
    <w:tmpl w:val="431AB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3"/>
  </w:num>
  <w:num w:numId="3" w16cid:durableId="611589570">
    <w:abstractNumId w:val="2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3"/>
  </w:num>
  <w:num w:numId="17" w16cid:durableId="2128498676">
    <w:abstractNumId w:val="38"/>
  </w:num>
  <w:num w:numId="18" w16cid:durableId="299724409">
    <w:abstractNumId w:val="30"/>
  </w:num>
  <w:num w:numId="19" w16cid:durableId="214585573">
    <w:abstractNumId w:val="14"/>
  </w:num>
  <w:num w:numId="20" w16cid:durableId="1289816170">
    <w:abstractNumId w:val="16"/>
  </w:num>
  <w:num w:numId="21" w16cid:durableId="1066490929">
    <w:abstractNumId w:val="39"/>
  </w:num>
  <w:num w:numId="22" w16cid:durableId="1472481103">
    <w:abstractNumId w:val="32"/>
  </w:num>
  <w:num w:numId="23" w16cid:durableId="1997420403">
    <w:abstractNumId w:val="34"/>
  </w:num>
  <w:num w:numId="24" w16cid:durableId="33312838">
    <w:abstractNumId w:val="31"/>
  </w:num>
  <w:num w:numId="25" w16cid:durableId="507404939">
    <w:abstractNumId w:val="21"/>
  </w:num>
  <w:num w:numId="26" w16cid:durableId="1313682059">
    <w:abstractNumId w:val="25"/>
  </w:num>
  <w:num w:numId="27" w16cid:durableId="1439645103">
    <w:abstractNumId w:val="37"/>
  </w:num>
  <w:num w:numId="28" w16cid:durableId="380447607">
    <w:abstractNumId w:val="24"/>
  </w:num>
  <w:num w:numId="29" w16cid:durableId="694426273">
    <w:abstractNumId w:val="20"/>
  </w:num>
  <w:num w:numId="30" w16cid:durableId="1442340306">
    <w:abstractNumId w:val="22"/>
  </w:num>
  <w:num w:numId="31" w16cid:durableId="1677919938">
    <w:abstractNumId w:val="17"/>
  </w:num>
  <w:num w:numId="32" w16cid:durableId="868877239">
    <w:abstractNumId w:val="28"/>
  </w:num>
  <w:num w:numId="33" w16cid:durableId="1147166698">
    <w:abstractNumId w:val="19"/>
  </w:num>
  <w:num w:numId="34" w16cid:durableId="854151675">
    <w:abstractNumId w:val="27"/>
  </w:num>
  <w:num w:numId="35" w16cid:durableId="595669636">
    <w:abstractNumId w:val="11"/>
  </w:num>
  <w:num w:numId="36" w16cid:durableId="37710139">
    <w:abstractNumId w:val="35"/>
  </w:num>
  <w:num w:numId="37" w16cid:durableId="318845587">
    <w:abstractNumId w:val="36"/>
  </w:num>
  <w:num w:numId="38" w16cid:durableId="883250431">
    <w:abstractNumId w:val="18"/>
  </w:num>
  <w:num w:numId="39" w16cid:durableId="1921792038">
    <w:abstractNumId w:val="15"/>
  </w:num>
  <w:num w:numId="40" w16cid:durableId="625043542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5A8"/>
    <w:rsid w:val="00094A59"/>
    <w:rsid w:val="00095B9C"/>
    <w:rsid w:val="0009754A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10C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D1E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2CD4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5ED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388B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3E98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1B2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03E1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494D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5118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481E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0E37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1B32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3B5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3C47"/>
    <w:rsid w:val="005444CF"/>
    <w:rsid w:val="00544D46"/>
    <w:rsid w:val="00545584"/>
    <w:rsid w:val="005462B1"/>
    <w:rsid w:val="0054721E"/>
    <w:rsid w:val="00547DC8"/>
    <w:rsid w:val="0055113F"/>
    <w:rsid w:val="005512AC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2E6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9C1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367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53DB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32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292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415A"/>
    <w:rsid w:val="00704728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6F44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106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08B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6C59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2D8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2153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430C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1CAA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078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9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266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4E04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00FA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6BC9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0AE9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3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C88"/>
    <w:rsid w:val="00BD5D53"/>
    <w:rsid w:val="00BD672B"/>
    <w:rsid w:val="00BD6CD8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2608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21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0A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484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BB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6FA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19E3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159F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BEE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54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5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9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14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9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9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4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2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6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4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9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7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93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39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6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0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54FA24-B69A-4A37-89C9-5F2B1BA33A5C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480</Words>
  <Characters>2876</Characters>
  <Application>Microsoft Office Word</Application>
  <DocSecurity>0</DocSecurity>
  <Lines>99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Talzenna SGM 2782-A</dc:title>
  <dc:subject/>
  <dc:creator>CVS Caremark</dc:creator>
  <cp:keywords/>
  <cp:lastModifiedBy>Huerta, Linda M</cp:lastModifiedBy>
  <cp:revision>3</cp:revision>
  <cp:lastPrinted>2018-01-09T05:01:00Z</cp:lastPrinted>
  <dcterms:created xsi:type="dcterms:W3CDTF">2025-05-06T21:57:00Z</dcterms:created>
  <dcterms:modified xsi:type="dcterms:W3CDTF">2025-05-06T21:57:00Z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290500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